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258</w:t>
      </w:r>
    </w:p>
    <w:p>
      <w:r>
        <w:t>Bundesgericht (BGE), 1986-04-22, DE</w:t>
      </w:r>
    </w:p>
    <w:p>
      <w:r>
        <w:rPr>
          <w:b/>
        </w:rPr>
        <w:t xml:space="preserve">Quelle: </w:t>
      </w:r>
      <w:r>
        <w:t>https://mcp.opencaselaw.ch/entscheid/bge_112 II 258</w:t>
      </w:r>
    </w:p>
    <w:p>
      <w:r>
        <w:t>FR: ATF 112 II 258</w:t>
      </w:r>
    </w:p>
    <w:p>
      <w:r>
        <w:t>IT: DTF 112 II 258</w:t>
      </w:r>
    </w:p>
    <w:p>
      <w:pPr>
        <w:pStyle w:val="Heading2"/>
      </w:pPr>
      <w:r>
        <w:t>Regeste</w:t>
      </w:r>
    </w:p>
    <w:p>
      <w:r>
        <w:t>Regeste Art. 752 OR; Prospekthaftung. Art. 752 OR kommt auch bei einer Kapitalerhöhung zur Anwendung, setzt aber die Verbreitung von Mitteilungen im Zusammenhang mit einer Aktienemission voraus (E. 3). Art. 754 OR; Haftung der Kontrollstelle. Für Sonderaufträge, welche der Kontrollstelle ausserhalb ihrer gesetzlichen oder statutarischen Aufgabe erteilt werden, haftet die Kontrollstelle nicht aus Art. 754 OR (E. 4).</w:t>
      </w:r>
    </w:p>
    <w:p>
      <w:pPr>
        <w:pStyle w:val="Heading2"/>
      </w:pPr>
      <w:r>
        <w:t>Erwägungen</w:t>
      </w:r>
    </w:p>
    <w:p>
      <w:r>
        <w:rPr>
          <w:b/>
        </w:rPr>
        <w:t>E. 3</w:t>
      </w:r>
    </w:p>
    <w:p>
      <w:r>
        <w:t>Der Kläger beruft sich für den von ihm behaupteten Sanierungsverlust von Fr. 3 Mio. bei der Kapitalerhöhung der Z. Holding AG ausserdem auf Prospekthaftung gemäss Art. 752 OR . Die Vorinstanz hat eine Haftung unter diesem Gesichtspunkt ebenfalls ausgeschlossen. a) Werden bei der Ausgabe von Aktien in Prospekten oder Zirkularen oder ähnlichen Kundgebungen unrichtige oder den gesetzlichen Erfordernissen nicht entsprechende Angaben gemacht, so haftet jeder, der absichtlich oder fahrlässig dabei mitgewirkt hat, den einzelnen Aktionären für den dadurch verursachten Schaden ( Art. 752 OR ). Der Prospekt ist ein Mittel zur Werbung BGE 112 II 258 S. 261 von Drittpersonen für die Aktienzeichnung ( BGE 58 II 153 ; VON STEIGER, Das Recht der Aktiengesellschaft in der Schweiz, 4. Aufl., S. 103; SCHUCANY, Kommentar zum schweizerischen Aktienrecht, N. 3 zu Art. 631 OR ). Dementsprechend dient die spezifische aktienrechtliche Prospekthaftung dem Schutz des zur Zeichnung aufgerufenen Publikums vor Übervorteilung (SCHRAFL, Die Aktien-Emission durch Banken nach schweizerischem Recht, Diss. Bern 1939, S. 60; vgl. auch FORSTMOSER, Die aktienrechtliche Verantwortlichkeit, N. 635 f. u. BÜRGI/NORDMANN, N. 10 u. 16 zu Art. 752 OR , nach denen die Prospekthaftung auch bei formeller Simultangründung und entsprechendem Simultanverfahren bei Kapitalerhöhung anzuwenden ist, sofern unmittelbar auf diese Operationen eine Offerte an das Publikum erfolgt). Art. 752 OR kommt nicht nur bei der Gründung einer Aktiengesellschaft zur Anwendung, sondern bei jeder Ausgabe von Aktien und erfasst deshalb auch entsprechende Dokumente, die anlässlich einer Kapitalerhöhung ausgegeben werden. Die Haftungsbestimmung betrifft aber nur Kundgebungen "bei der Ausgabe" von Aktien. Die Verbreitung von Prospekten und ähnlicher Mitteilungen muss daher mit der Emission zusammenhängen, also in der Absicht erfolgt sein, die Aktien in den Verkehr einzuführen (FORSTMOSER, a.a.O., N. 639 u. N. 641; SCHRAFL, a.a.O., S. 60). b) Von einer Emission kann im vorliegenden Fall nicht gesprochen werden. Die Bilanzdokumentation ist von der Beklagten nicht im Hinblick auf eine Aktienemission erstellt worden, sondern als Grundlage für eine Sanierung, deren Modalitäten noch offen waren. Dass der Kläger der Beklagten seine konkreten Vorstellungen über die einzelnen Sanierungsmassnahmen bekannt gegeben und insbesondere auch auf die Möglichkeit einer Kapitalerhöhung hingewiesen hat, ändert daran nichts. Eine Haftung aus Art. 752 OR entfällt damit.</w:t>
      </w:r>
    </w:p>
    <w:p>
      <w:r>
        <w:rPr>
          <w:b/>
        </w:rPr>
        <w:t>E. 4</w:t>
      </w:r>
    </w:p>
    <w:p>
      <w:r>
        <w:t>Nach Auffassung des Klägers ist auch eine Haftung der Beklagten als Kontrollstelle gemäss Art. 754 OR gegeben. Die Vorinstanz bezeichnet allfällige Fehler der Beklagten im Zusammenhang mit den laufenden Revisionen für die vom Kläger erlittenen Verluste als nicht kausal, was mit der Berufung nicht angefochten wird. Es fragt sich somit einzig, ob die Bilanzdokumentation, die der Kläger als die entscheidende Grundlage für seine Beteiligung an der Sanierung bezeichnet, von der Beklagten im Rahmen ihrer Tätigkeit als Kontrollstelle erstellt worden ist. BGE 112 II 258 S. 262 Das Handelsgericht verneint das, weil nach der eigenen Darstellung des Klägers es sich dabei um einen Sonderauftrag handle, der klar über das hinausgehe, was gemäss Art. 727 ff. OR Aufgabe der Kontrollstelle sei. a) Der Kläger beruft sich nicht auf eine Abtretung im Sinn von Art. 756 Abs. 2 bzw. Art. 260 SchKG . Es kann daher nur darum gehen, ob ihm gegenüber der Beklagten Schadenersatz aufgrund unmittelbarer Schädigung im Sinn von Art. 754 OR zusteht. Das setzt voraus, dass die Kontrollstelle gegenüber dem Kläger aktienrechtliche Pflichten verletzt hat ( BGE 110 II 393 ff. E. 2). Gemäss Art. 728 Abs. 1 OR hat sie zu prüfen, ob sich die Gewinn- und Verlustrechnung und die Bilanz in Übereinstimmung mit den Büchern befinden, ob diese ordnungsgemäss geführt sind und ob die Darstellung des Geschäftsergebnisses und der Vermögenslage den gesetzlichen Bewertungsgrundsätzen sowie allfälligen besonderen Vorschriften der Statuten entspricht. Sie hat ausserdem der Generalversammlung über die Bilanz und die von der Verwaltung vorgelegten Rechnungen einen schriftlichen Bericht zu erstatten ( Art. 729 Abs. 1 OR ). Ihre Aufgabe und damit auch ihre Haftung können sodann durch die Statuten oder die Generalversammlung erweitert werden ( Art. 731 Abs. 1 OR ; zur Haftung vgl. BGE 110 II 394 ; BGE 65 II 20 ). b) Die von der Beklagten zusammengestellte Bilanzdokumentation ist nicht im Rahmen derartiger gesetzlicher oder statutarischer Tätigkeit erfolgt, sondern - wie der Kläger selbst einräumt - im Rahmen eines Sonderauftrags, der klar darüber hinausging. In der Literatur spricht sich HIRSCH (L'organe de contrôle dans la société anonyme, Diss. Genf 1965, S. 197) dafür aus, auch derartige Zusatzaufträge unter die Haftung von Art. 754 OR fallen zu lassen, weil zwischen solchen Aufträgen und der normalen Tätigkeit der Kontrollstelle stets eine mehr oder weniger enge Beziehung bestehe, die Kontrollstelle daher nicht zufällig mit den Sonderaufträgen betraut werde. Andere Autoren lehnen eine solche Ausdehnung der aktienrechtlichen Verantwortlichkeit ab, weil diese spezifisch die Verletzung jener Pflichten sanktionieren wolle, welche dem Organ durch seine gesellschaftsrechtliche Stellung auferlegt sind, zu der die zusätzlichen Aufgaben nicht gehören (FORSTMOSER, a.a.O., N. 442 f., mit Bezugnahme auf die Auffassung von Hirsch in Fussnote 773; DRUEY, Rechtsstellung und Aufgaben des Abschlussprüfers im In- und Ausland, in: Rechtsgrundlagen und Verantwortlichkeit des Abschlussprüfers, 1980, S. 20; DRUEY, Zur BGE 112 II 258 S. 263 Verantwortlichkeit aus aktienrechtlicher Organschaft, SAG 53/1981, S. 81; VON GREYERZ, Die Verantwortlichkeit der aktienrechtlichen Kontrollstelle, in: Rechtsgrundlagen und Verantwortlichkeit des Abschlussprüfers, 1980, S. 54). Dieser letzteren Auffassung ist beizupflichten, da sonst der gesetzliche Zweck der auf die Verletzung aktienrechtlicher Pflichten zugeschnittenen Verantwortlichkeit verwischt würde. Die Berufung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